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p>
    <w:p/>
    <w:p/>
    <w:p/>
    <w:p/>
    <w:p>
      <w:pPr>
        <w:jc w:val="center"/>
      </w:pPr>
      <w:r>
        <w:rPr>
          <w:rFonts w:ascii="Aptos Display" w:hAnsi="Aptos Display"/>
          <w:color w:val="595959"/>
          <w:sz w:val="28"/>
        </w:rPr>
        <w:t>Reltio MDM Implementation Guide</w:t>
      </w:r>
    </w:p>
    <w:p>
      <w:pPr>
        <w:jc w:val="center"/>
      </w:pPr>
      <w:r>
        <w:rPr>
          <w:rFonts w:ascii="Aptos Display" w:hAnsi="Aptos Display"/>
          <w:b/>
          <w:color w:val="0F4761"/>
          <w:sz w:val="56"/>
        </w:rPr>
        <w:t>Data Governance Framework for Reltio MDM</w:t>
      </w:r>
    </w:p>
    <w:p>
      <w:pPr>
        <w:jc w:val="center"/>
      </w:pPr>
      <w:r>
        <w:rPr>
          <w:rFonts w:ascii="Aptos Display" w:hAnsi="Aptos Display"/>
          <w:b/>
          <w:color w:val="00A88F"/>
          <w:sz w:val="28"/>
        </w:rPr>
        <w:t>Mastech Digital — Reltio MDM Platform Assets</w:t>
      </w:r>
    </w:p>
    <w:p>
      <w:pPr>
        <w:jc w:val="center"/>
      </w:pPr>
      <w:r>
        <w:rPr>
          <w:rFonts w:ascii="Aptos" w:hAnsi="Aptos"/>
          <w:i/>
          <w:color w:val="595959"/>
          <w:sz w:val="22"/>
        </w:rPr>
        <w:t>Operating model, policies, and decision rights for enterprise MDM governance</w:t>
      </w:r>
    </w:p>
    <w:p/>
    <w:p/>
    <w:p/>
    <w:tbl>
      <w:tblPr>
        <w:tblStyle w:val="TableGrid"/>
        <w:tblW w:type="auto" w:w="0"/>
        <w:tblLook w:firstColumn="1" w:firstRow="1" w:lastColumn="0" w:lastRow="0" w:noHBand="0" w:noVBand="1" w:val="04A0"/>
      </w:tblPr>
      <w:tblGrid>
        <w:gridCol w:w="4680"/>
        <w:gridCol w:w="4680"/>
      </w:tblGrid>
      <w:tr>
        <w:tc>
          <w:tcPr>
            <w:tcW w:type="dxa" w:w="4680"/>
            <w:shd w:fill="0F4761" w:val="clear"/>
          </w:tcPr>
          <w:p>
            <w:r>
              <w:rPr>
                <w:rFonts w:ascii="Aptos" w:hAnsi="Aptos"/>
                <w:b/>
                <w:color w:val="FFFFFF"/>
                <w:sz w:val="20"/>
              </w:rPr>
              <w:t>Document</w:t>
            </w:r>
          </w:p>
        </w:tc>
        <w:tc>
          <w:tcPr>
            <w:tcW w:type="dxa" w:w="4680"/>
            <w:shd w:fill="E8E8E8" w:val="clear"/>
          </w:tcPr>
          <w:p>
            <w:r>
              <w:rPr>
                <w:rFonts w:ascii="Aptos" w:hAnsi="Aptos"/>
                <w:sz w:val="20"/>
              </w:rPr>
              <w:t>Data Governance Framework for Reltio MDM</w:t>
            </w:r>
          </w:p>
        </w:tc>
      </w:tr>
      <w:tr>
        <w:tc>
          <w:tcPr>
            <w:tcW w:type="dxa" w:w="4680"/>
            <w:shd w:fill="0F4761" w:val="clear"/>
          </w:tcPr>
          <w:p>
            <w:r>
              <w:rPr>
                <w:rFonts w:ascii="Aptos" w:hAnsi="Aptos"/>
                <w:b/>
                <w:color w:val="FFFFFF"/>
                <w:sz w:val="20"/>
              </w:rPr>
              <w:t>Category</w:t>
            </w:r>
          </w:p>
        </w:tc>
        <w:tc>
          <w:tcPr>
            <w:tcW w:type="dxa" w:w="4680"/>
          </w:tcPr>
          <w:p>
            <w:r>
              <w:rPr>
                <w:rFonts w:ascii="Aptos" w:hAnsi="Aptos"/>
                <w:sz w:val="20"/>
              </w:rPr>
              <w:t>02 — Data Governance</w:t>
            </w:r>
          </w:p>
        </w:tc>
      </w:tr>
      <w:tr>
        <w:tc>
          <w:tcPr>
            <w:tcW w:type="dxa" w:w="4680"/>
            <w:shd w:fill="0F4761" w:val="clear"/>
          </w:tcPr>
          <w:p>
            <w:r>
              <w:rPr>
                <w:rFonts w:ascii="Aptos" w:hAnsi="Aptos"/>
                <w:b/>
                <w:color w:val="FFFFFF"/>
                <w:sz w:val="20"/>
              </w:rPr>
              <w:t>Document ID</w:t>
            </w:r>
          </w:p>
        </w:tc>
        <w:tc>
          <w:tcPr>
            <w:tcW w:type="dxa" w:w="4680"/>
            <w:shd w:fill="E8E8E8" w:val="clear"/>
          </w:tcPr>
          <w:p>
            <w:r>
              <w:rPr>
                <w:rFonts w:ascii="Aptos" w:hAnsi="Aptos"/>
                <w:sz w:val="20"/>
              </w:rPr>
              <w:t>GOV-001</w:t>
            </w:r>
          </w:p>
        </w:tc>
      </w:tr>
      <w:tr>
        <w:tc>
          <w:tcPr>
            <w:tcW w:type="dxa" w:w="4680"/>
            <w:shd w:fill="0F4761" w:val="clear"/>
          </w:tcPr>
          <w:p>
            <w:r>
              <w:rPr>
                <w:rFonts w:ascii="Aptos" w:hAnsi="Aptos"/>
                <w:b/>
                <w:color w:val="FFFFFF"/>
                <w:sz w:val="20"/>
              </w:rPr>
              <w:t>Version</w:t>
            </w:r>
          </w:p>
        </w:tc>
        <w:tc>
          <w:tcPr>
            <w:tcW w:type="dxa" w:w="4680"/>
          </w:tcPr>
          <w:p>
            <w:r>
              <w:rPr>
                <w:rFonts w:ascii="Aptos" w:hAnsi="Aptos"/>
                <w:sz w:val="20"/>
              </w:rPr>
              <w:t>1.0</w:t>
            </w:r>
          </w:p>
        </w:tc>
      </w:tr>
      <w:tr>
        <w:tc>
          <w:tcPr>
            <w:tcW w:type="dxa" w:w="4680"/>
            <w:shd w:fill="0F4761" w:val="clear"/>
          </w:tcPr>
          <w:p>
            <w:r>
              <w:rPr>
                <w:rFonts w:ascii="Aptos" w:hAnsi="Aptos"/>
                <w:b/>
                <w:color w:val="FFFFFF"/>
                <w:sz w:val="20"/>
              </w:rPr>
              <w:t>Date</w:t>
            </w:r>
          </w:p>
        </w:tc>
        <w:tc>
          <w:tcPr>
            <w:tcW w:type="dxa" w:w="4680"/>
            <w:shd w:fill="E8E8E8" w:val="clear"/>
          </w:tcPr>
          <w:p>
            <w:r>
              <w:rPr>
                <w:rFonts w:ascii="Aptos" w:hAnsi="Aptos"/>
                <w:sz w:val="20"/>
              </w:rPr>
              <w:t>March 2026</w:t>
            </w:r>
          </w:p>
        </w:tc>
      </w:tr>
      <w:tr>
        <w:tc>
          <w:tcPr>
            <w:tcW w:type="dxa" w:w="4680"/>
            <w:shd w:fill="0F4761" w:val="clear"/>
          </w:tcPr>
          <w:p>
            <w:r>
              <w:rPr>
                <w:rFonts w:ascii="Aptos" w:hAnsi="Aptos"/>
                <w:b/>
                <w:color w:val="FFFFFF"/>
                <w:sz w:val="20"/>
              </w:rPr>
              <w:t>Author</w:t>
            </w:r>
          </w:p>
        </w:tc>
        <w:tc>
          <w:tcPr>
            <w:tcW w:type="dxa" w:w="4680"/>
          </w:tcPr>
          <w:p>
            <w:r>
              <w:rPr>
                <w:rFonts w:ascii="Aptos" w:hAnsi="Aptos"/>
                <w:sz w:val="20"/>
              </w:rPr>
              <w:t>Mastech Digital — Reltio Practice</w:t>
            </w:r>
          </w:p>
        </w:tc>
      </w:tr>
      <w:tr>
        <w:tc>
          <w:tcPr>
            <w:tcW w:type="dxa" w:w="4680"/>
            <w:shd w:fill="0F4761" w:val="clear"/>
          </w:tcPr>
          <w:p>
            <w:r>
              <w:rPr>
                <w:rFonts w:ascii="Aptos" w:hAnsi="Aptos"/>
                <w:b/>
                <w:color w:val="FFFFFF"/>
                <w:sz w:val="20"/>
              </w:rPr>
              <w:t>Reviewed By</w:t>
            </w:r>
          </w:p>
        </w:tc>
        <w:tc>
          <w:tcPr>
            <w:tcW w:type="dxa" w:w="4680"/>
            <w:shd w:fill="E8E8E8" w:val="clear"/>
          </w:tcPr>
          <w:p>
            <w:r>
              <w:rPr>
                <w:rFonts w:ascii="Aptos" w:hAnsi="Aptos"/>
                <w:sz w:val="20"/>
              </w:rPr>
              <w:t>Pending – Internal Review</w:t>
            </w:r>
          </w:p>
        </w:tc>
      </w:tr>
      <w:tr>
        <w:tc>
          <w:tcPr>
            <w:tcW w:type="dxa" w:w="4680"/>
            <w:shd w:fill="0F4761" w:val="clear"/>
          </w:tcPr>
          <w:p>
            <w:r>
              <w:rPr>
                <w:rFonts w:ascii="Aptos" w:hAnsi="Aptos"/>
                <w:b/>
                <w:color w:val="FFFFFF"/>
                <w:sz w:val="20"/>
              </w:rPr>
              <w:t>Status</w:t>
            </w:r>
          </w:p>
        </w:tc>
        <w:tc>
          <w:tcPr>
            <w:tcW w:type="dxa" w:w="4680"/>
          </w:tcPr>
          <w:p>
            <w:r>
              <w:rPr>
                <w:rFonts w:ascii="Aptos" w:hAnsi="Aptos"/>
                <w:sz w:val="20"/>
              </w:rPr>
              <w:t>Draft</w:t>
            </w:r>
          </w:p>
        </w:tc>
      </w:tr>
      <w:tr>
        <w:tc>
          <w:tcPr>
            <w:tcW w:type="dxa" w:w="4680"/>
            <w:shd w:fill="0F4761" w:val="clear"/>
          </w:tcPr>
          <w:p>
            <w:r>
              <w:rPr>
                <w:rFonts w:ascii="Aptos" w:hAnsi="Aptos"/>
                <w:b/>
                <w:color w:val="FFFFFF"/>
                <w:sz w:val="20"/>
              </w:rPr>
              <w:t>Classification</w:t>
            </w:r>
          </w:p>
        </w:tc>
        <w:tc>
          <w:tcPr>
            <w:tcW w:type="dxa" w:w="4680"/>
            <w:shd w:fill="E8E8E8" w:val="clear"/>
          </w:tcPr>
          <w:p>
            <w:r>
              <w:rPr>
                <w:rFonts w:ascii="Aptos" w:hAnsi="Aptos"/>
                <w:sz w:val="20"/>
              </w:rPr>
              <w:t>Internal – Mastech Digital</w:t>
            </w:r>
          </w:p>
        </w:tc>
      </w:tr>
      <w:tr>
        <w:tc>
          <w:tcPr>
            <w:tcW w:type="dxa" w:w="4680"/>
            <w:shd w:fill="0F4761" w:val="clear"/>
          </w:tcPr>
          <w:p>
            <w:r>
              <w:rPr>
                <w:rFonts w:ascii="Aptos" w:hAnsi="Aptos"/>
                <w:b/>
                <w:color w:val="FFFFFF"/>
                <w:sz w:val="20"/>
              </w:rPr>
              <w:t>Platform Version</w:t>
            </w:r>
          </w:p>
        </w:tc>
        <w:tc>
          <w:tcPr>
            <w:tcW w:type="dxa" w:w="4680"/>
          </w:tcPr>
          <w:p>
            <w:r>
              <w:rPr>
                <w:rFonts w:ascii="Aptos" w:hAnsi="Aptos"/>
                <w:sz w:val="20"/>
              </w:rPr>
              <w:t>Reltio Cloud MDM – 2026</w:t>
            </w:r>
          </w:p>
        </w:tc>
      </w:tr>
      <w:tr>
        <w:tc>
          <w:tcPr>
            <w:tcW w:type="dxa" w:w="4680"/>
            <w:shd w:fill="0F4761" w:val="clear"/>
          </w:tcPr>
          <w:p>
            <w:r>
              <w:rPr>
                <w:rFonts w:ascii="Aptos" w:hAnsi="Aptos"/>
                <w:b/>
                <w:color w:val="FFFFFF"/>
                <w:sz w:val="20"/>
              </w:rPr>
              <w:t>Next Review</w:t>
            </w:r>
          </w:p>
        </w:tc>
        <w:tc>
          <w:tcPr>
            <w:tcW w:type="dxa" w:w="4680"/>
            <w:shd w:fill="E8E8E8" w:val="clear"/>
          </w:tcPr>
          <w:p>
            <w:r>
              <w:rPr>
                <w:rFonts w:ascii="Aptos" w:hAnsi="Aptos"/>
                <w:sz w:val="20"/>
              </w:rPr>
              <w:t>September 2026</w:t>
            </w:r>
          </w:p>
        </w:tc>
      </w:tr>
    </w:tbl>
    <w:p/>
    <w:p>
      <w:r>
        <w:br w:type="page"/>
      </w:r>
    </w:p>
    <w:p>
      <w:pPr>
        <w:pStyle w:val="Heading1"/>
      </w:pPr>
      <w:r>
        <w:t>Executive Summary</w:t>
      </w:r>
    </w:p>
    <w:p>
      <w:r>
        <w:t>An effective data governance framework is the organizational backbone of any successful MDM program. This document defines the governance operating model, roles and responsibilities, policy framework, decision rights, and escalation paths for Reltio MDM implementations. Mastech Digital's governance framework is designed to be pragmatic, scalable, and measurable — supporting both initial implementation and steady-state operations.</w:t>
      </w:r>
    </w:p>
    <w:p/>
    <w:p>
      <w:pPr>
        <w:pStyle w:val="Heading1"/>
      </w:pPr>
      <w:r>
        <w:t>Table of Contents</w:t>
      </w:r>
    </w:p>
    <w:p>
      <w:pPr>
        <w:spacing w:after="60"/>
      </w:pPr>
      <w:r>
        <w:rPr>
          <w:color w:val="0C548A"/>
          <w:sz w:val="22"/>
        </w:rPr>
        <w:t>1.0  Governance Operating Model</w:t>
      </w:r>
    </w:p>
    <w:p>
      <w:pPr>
        <w:spacing w:after="60"/>
      </w:pPr>
      <w:r>
        <w:rPr>
          <w:color w:val="0C548A"/>
          <w:sz w:val="22"/>
        </w:rPr>
        <w:t>2.0  Roles &amp; Responsibilities</w:t>
      </w:r>
    </w:p>
    <w:p>
      <w:pPr>
        <w:spacing w:after="60"/>
      </w:pPr>
      <w:r>
        <w:rPr>
          <w:color w:val="0C548A"/>
          <w:sz w:val="22"/>
        </w:rPr>
        <w:t>3.0  Policy Framework</w:t>
      </w:r>
    </w:p>
    <w:p>
      <w:pPr>
        <w:spacing w:after="60"/>
      </w:pPr>
      <w:r>
        <w:rPr>
          <w:color w:val="0C548A"/>
          <w:sz w:val="22"/>
        </w:rPr>
        <w:t>4.0  Decision Rights (RACI)</w:t>
      </w:r>
    </w:p>
    <w:p>
      <w:pPr>
        <w:spacing w:after="60"/>
      </w:pPr>
      <w:r>
        <w:rPr>
          <w:color w:val="0C548A"/>
          <w:sz w:val="22"/>
        </w:rPr>
        <w:t>5.0  Data Stewardship Model</w:t>
      </w:r>
    </w:p>
    <w:p>
      <w:pPr>
        <w:spacing w:after="60"/>
      </w:pPr>
      <w:r>
        <w:rPr>
          <w:color w:val="0C548A"/>
          <w:sz w:val="22"/>
        </w:rPr>
        <w:t>6.0  Governance Metrics &amp; KPIs</w:t>
      </w:r>
    </w:p>
    <w:p>
      <w:r>
        <w:br w:type="page"/>
      </w:r>
    </w:p>
    <w:p>
      <w:pPr>
        <w:pStyle w:val="Heading1"/>
      </w:pPr>
      <w:r>
        <w:t>1. Governance Operating Model</w:t>
      </w:r>
    </w:p>
    <w:p>
      <w:pPr>
        <w:pStyle w:val="Heading2"/>
      </w:pPr>
      <w:r>
        <w:t>1.1 Governance Tiers</w:t>
      </w:r>
    </w:p>
    <w:tbl>
      <w:tblPr>
        <w:tblStyle w:val="TableGrid"/>
        <w:tblW w:type="auto" w:w="0"/>
        <w:tblLayout w:type="autofit"/>
        <w:tblLook w:firstColumn="1" w:firstRow="1" w:lastColumn="0" w:lastRow="0" w:noHBand="0" w:noVBand="1" w:val="04A0"/>
      </w:tblPr>
      <w:tblGrid>
        <w:gridCol w:w="2340"/>
        <w:gridCol w:w="2340"/>
        <w:gridCol w:w="2340"/>
        <w:gridCol w:w="2340"/>
      </w:tblGrid>
      <w:tr>
        <w:tc>
          <w:tcPr>
            <w:tcW w:type="dxa" w:w="2340"/>
            <w:shd w:fill="0C548A" w:val="clear"/>
          </w:tcPr>
          <w:p>
            <w:r>
              <w:rPr>
                <w:b/>
                <w:color w:val="FFFFFF"/>
                <w:sz w:val="20"/>
              </w:rPr>
              <w:t>Tier</w:t>
            </w:r>
          </w:p>
        </w:tc>
        <w:tc>
          <w:tcPr>
            <w:tcW w:type="dxa" w:w="2340"/>
            <w:shd w:fill="0C548A" w:val="clear"/>
          </w:tcPr>
          <w:p>
            <w:r>
              <w:rPr>
                <w:b/>
                <w:color w:val="FFFFFF"/>
                <w:sz w:val="20"/>
              </w:rPr>
              <w:t>Body</w:t>
            </w:r>
          </w:p>
        </w:tc>
        <w:tc>
          <w:tcPr>
            <w:tcW w:type="dxa" w:w="2340"/>
            <w:shd w:fill="0C548A" w:val="clear"/>
          </w:tcPr>
          <w:p>
            <w:r>
              <w:rPr>
                <w:b/>
                <w:color w:val="FFFFFF"/>
                <w:sz w:val="20"/>
              </w:rPr>
              <w:t>Cadence</w:t>
            </w:r>
          </w:p>
        </w:tc>
        <w:tc>
          <w:tcPr>
            <w:tcW w:type="dxa" w:w="2340"/>
            <w:shd w:fill="0C548A" w:val="clear"/>
          </w:tcPr>
          <w:p>
            <w:r>
              <w:rPr>
                <w:b/>
                <w:color w:val="FFFFFF"/>
                <w:sz w:val="20"/>
              </w:rPr>
              <w:t>Scope</w:t>
            </w:r>
          </w:p>
        </w:tc>
      </w:tr>
      <w:tr>
        <w:tc>
          <w:tcPr>
            <w:tcW w:type="dxa" w:w="2340"/>
          </w:tcPr>
          <w:p>
            <w:r>
              <w:rPr>
                <w:sz w:val="20"/>
              </w:rPr>
              <w:t>Strategic</w:t>
            </w:r>
          </w:p>
        </w:tc>
        <w:tc>
          <w:tcPr>
            <w:tcW w:type="dxa" w:w="2340"/>
          </w:tcPr>
          <w:p>
            <w:r>
              <w:rPr>
                <w:sz w:val="20"/>
              </w:rPr>
              <w:t>Data Governance Council</w:t>
            </w:r>
          </w:p>
        </w:tc>
        <w:tc>
          <w:tcPr>
            <w:tcW w:type="dxa" w:w="2340"/>
          </w:tcPr>
          <w:p>
            <w:r>
              <w:rPr>
                <w:sz w:val="20"/>
              </w:rPr>
              <w:t>Monthly</w:t>
            </w:r>
          </w:p>
        </w:tc>
        <w:tc>
          <w:tcPr>
            <w:tcW w:type="dxa" w:w="2340"/>
          </w:tcPr>
          <w:p>
            <w:r>
              <w:rPr>
                <w:sz w:val="20"/>
              </w:rPr>
              <w:t>Policy approval, program investment, escalations</w:t>
            </w:r>
          </w:p>
        </w:tc>
      </w:tr>
      <w:tr>
        <w:tc>
          <w:tcPr>
            <w:tcW w:type="dxa" w:w="2340"/>
            <w:shd w:fill="F4F6FA" w:val="clear"/>
          </w:tcPr>
          <w:p>
            <w:r>
              <w:rPr>
                <w:sz w:val="20"/>
              </w:rPr>
              <w:t>Operational</w:t>
            </w:r>
          </w:p>
        </w:tc>
        <w:tc>
          <w:tcPr>
            <w:tcW w:type="dxa" w:w="2340"/>
            <w:shd w:fill="F4F6FA" w:val="clear"/>
          </w:tcPr>
          <w:p>
            <w:r>
              <w:rPr>
                <w:sz w:val="20"/>
              </w:rPr>
              <w:t>Data Domain Steering Committees</w:t>
            </w:r>
          </w:p>
        </w:tc>
        <w:tc>
          <w:tcPr>
            <w:tcW w:type="dxa" w:w="2340"/>
            <w:shd w:fill="F4F6FA" w:val="clear"/>
          </w:tcPr>
          <w:p>
            <w:r>
              <w:rPr>
                <w:sz w:val="20"/>
              </w:rPr>
              <w:t>Bi-weekly</w:t>
            </w:r>
          </w:p>
        </w:tc>
        <w:tc>
          <w:tcPr>
            <w:tcW w:type="dxa" w:w="2340"/>
            <w:shd w:fill="F4F6FA" w:val="clear"/>
          </w:tcPr>
          <w:p>
            <w:r>
              <w:rPr>
                <w:sz w:val="20"/>
              </w:rPr>
              <w:t>Domain-level policy, issue resolution</w:t>
            </w:r>
          </w:p>
        </w:tc>
      </w:tr>
      <w:tr>
        <w:tc>
          <w:tcPr>
            <w:tcW w:type="dxa" w:w="2340"/>
          </w:tcPr>
          <w:p>
            <w:r>
              <w:rPr>
                <w:sz w:val="20"/>
              </w:rPr>
              <w:t>Tactical</w:t>
            </w:r>
          </w:p>
        </w:tc>
        <w:tc>
          <w:tcPr>
            <w:tcW w:type="dxa" w:w="2340"/>
          </w:tcPr>
          <w:p>
            <w:r>
              <w:rPr>
                <w:sz w:val="20"/>
              </w:rPr>
              <w:t>Data Stewards (by domain)</w:t>
            </w:r>
          </w:p>
        </w:tc>
        <w:tc>
          <w:tcPr>
            <w:tcW w:type="dxa" w:w="2340"/>
          </w:tcPr>
          <w:p>
            <w:r>
              <w:rPr>
                <w:sz w:val="20"/>
              </w:rPr>
              <w:t>Weekly</w:t>
            </w:r>
          </w:p>
        </w:tc>
        <w:tc>
          <w:tcPr>
            <w:tcW w:type="dxa" w:w="2340"/>
          </w:tcPr>
          <w:p>
            <w:r>
              <w:rPr>
                <w:sz w:val="20"/>
              </w:rPr>
              <w:t>Exception resolution, quality monitoring</w:t>
            </w:r>
          </w:p>
        </w:tc>
      </w:tr>
      <w:tr>
        <w:tc>
          <w:tcPr>
            <w:tcW w:type="dxa" w:w="2340"/>
            <w:shd w:fill="F4F6FA" w:val="clear"/>
          </w:tcPr>
          <w:p>
            <w:r>
              <w:rPr>
                <w:sz w:val="20"/>
              </w:rPr>
              <w:t>Technical</w:t>
            </w:r>
          </w:p>
        </w:tc>
        <w:tc>
          <w:tcPr>
            <w:tcW w:type="dxa" w:w="2340"/>
            <w:shd w:fill="F4F6FA" w:val="clear"/>
          </w:tcPr>
          <w:p>
            <w:r>
              <w:rPr>
                <w:sz w:val="20"/>
              </w:rPr>
              <w:t>MDM Engineering Team</w:t>
            </w:r>
          </w:p>
        </w:tc>
        <w:tc>
          <w:tcPr>
            <w:tcW w:type="dxa" w:w="2340"/>
            <w:shd w:fill="F4F6FA" w:val="clear"/>
          </w:tcPr>
          <w:p>
            <w:r>
              <w:rPr>
                <w:sz w:val="20"/>
              </w:rPr>
              <w:t>Daily</w:t>
            </w:r>
          </w:p>
        </w:tc>
        <w:tc>
          <w:tcPr>
            <w:tcW w:type="dxa" w:w="2340"/>
            <w:shd w:fill="F4F6FA" w:val="clear"/>
          </w:tcPr>
          <w:p>
            <w:r>
              <w:rPr>
                <w:sz w:val="20"/>
              </w:rPr>
              <w:t>Platform operations, configuration changes</w:t>
            </w:r>
          </w:p>
        </w:tc>
      </w:tr>
    </w:tbl>
    <w:p/>
    <w:p>
      <w:pPr>
        <w:pStyle w:val="Heading2"/>
      </w:pPr>
      <w:r>
        <w:t>1.2 Governance Charter</w:t>
      </w:r>
    </w:p>
    <w:p>
      <w:r>
        <w:t>The Data Governance Charter establishes the authority, mission, and scope of the MDM governance program. Key charter elements:</w:t>
      </w:r>
    </w:p>
    <w:p>
      <w:pPr>
        <w:pStyle w:val="ListBullet"/>
      </w:pPr>
      <w:r>
        <w:t>Mission: Establish and maintain a single, trusted source of master data</w:t>
      </w:r>
    </w:p>
    <w:p>
      <w:pPr>
        <w:pStyle w:val="ListBullet"/>
      </w:pPr>
      <w:r>
        <w:t>Authority: Data Governance Council has final say on data policy decisions</w:t>
      </w:r>
    </w:p>
    <w:p>
      <w:pPr>
        <w:pStyle w:val="ListBullet"/>
      </w:pPr>
      <w:r>
        <w:t>Scope: Party (Customer/Supplier), Product, Location, and Reference Data domains</w:t>
      </w:r>
    </w:p>
    <w:p>
      <w:pPr>
        <w:pStyle w:val="ListBullet"/>
      </w:pPr>
      <w:r>
        <w:t>Success Metrics: DQ score &gt; 95%, stewardship SLA &lt; 24 hours, duplicate rate &lt; 2%</w:t>
      </w:r>
    </w:p>
    <w:p>
      <w:pPr>
        <w:shd w:fill="E3F2FD" w:val="clear"/>
        <w:pBdr>
          <w:top w:val="single" w:sz="4" w:space="4" w:color="2196F3"/>
          <w:left w:val="single" w:sz="12" w:space="4" w:color="2196F3"/>
          <w:right w:val="single" w:sz="4" w:space="4" w:color="2196F3"/>
        </w:pBdr>
        <w:spacing w:after="0"/>
        <w:ind w:left="432" w:right="432"/>
      </w:pPr>
      <w:r>
        <w:rPr>
          <w:b/>
          <w:color w:val="2196F3"/>
          <w:sz w:val="20"/>
        </w:rPr>
        <w:t xml:space="preserve">  INFO</w:t>
      </w:r>
    </w:p>
    <w:p>
      <w:pPr>
        <w:shd w:fill="E3F2FD" w:val="clear"/>
        <w:pBdr>
          <w:bottom w:val="single" w:sz="4" w:space="4" w:color="2196F3"/>
          <w:left w:val="single" w:sz="12" w:space="4" w:color="2196F3"/>
          <w:right w:val="single" w:sz="4" w:space="4" w:color="2196F3"/>
        </w:pBdr>
        <w:spacing w:before="0"/>
        <w:ind w:left="432" w:right="432"/>
      </w:pPr>
      <w:r>
        <w:rPr>
          <w:color w:val="4B5563"/>
          <w:sz w:val="20"/>
        </w:rPr>
        <w:t xml:space="preserve">  Executive sponsorship is the #1 success factor for MDM governance programs. Ensure the CDO or equivalent signs the governance charter before implementation begins.</w:t>
      </w:r>
    </w:p>
    <w:p/>
    <w:p>
      <w:pPr>
        <w:pStyle w:val="Heading1"/>
      </w:pPr>
      <w:r>
        <w:t>2. Roles &amp; Responsibilities</w:t>
      </w:r>
    </w:p>
    <w:tbl>
      <w:tblPr>
        <w:tblStyle w:val="TableGrid"/>
        <w:tblW w:type="auto" w:w="0"/>
        <w:tblLayout w:type="autofit"/>
        <w:tblLook w:firstColumn="1" w:firstRow="1" w:lastColumn="0" w:lastRow="0" w:noHBand="0" w:noVBand="1" w:val="04A0"/>
      </w:tblPr>
      <w:tblGrid>
        <w:gridCol w:w="2340"/>
        <w:gridCol w:w="2340"/>
        <w:gridCol w:w="2340"/>
        <w:gridCol w:w="2340"/>
      </w:tblGrid>
      <w:tr>
        <w:tc>
          <w:tcPr>
            <w:tcW w:type="dxa" w:w="2340"/>
            <w:shd w:fill="0C548A" w:val="clear"/>
          </w:tcPr>
          <w:p>
            <w:r>
              <w:rPr>
                <w:b/>
                <w:color w:val="FFFFFF"/>
                <w:sz w:val="20"/>
              </w:rPr>
              <w:t>Role</w:t>
            </w:r>
          </w:p>
        </w:tc>
        <w:tc>
          <w:tcPr>
            <w:tcW w:type="dxa" w:w="2340"/>
            <w:shd w:fill="0C548A" w:val="clear"/>
          </w:tcPr>
          <w:p>
            <w:r>
              <w:rPr>
                <w:b/>
                <w:color w:val="FFFFFF"/>
                <w:sz w:val="20"/>
              </w:rPr>
              <w:t>Primary Responsibility</w:t>
            </w:r>
          </w:p>
        </w:tc>
        <w:tc>
          <w:tcPr>
            <w:tcW w:type="dxa" w:w="2340"/>
            <w:shd w:fill="0C548A" w:val="clear"/>
          </w:tcPr>
          <w:p>
            <w:r>
              <w:rPr>
                <w:b/>
                <w:color w:val="FFFFFF"/>
                <w:sz w:val="20"/>
              </w:rPr>
              <w:t>Skills Required</w:t>
            </w:r>
          </w:p>
        </w:tc>
        <w:tc>
          <w:tcPr>
            <w:tcW w:type="dxa" w:w="2340"/>
            <w:shd w:fill="0C548A" w:val="clear"/>
          </w:tcPr>
          <w:p>
            <w:r>
              <w:rPr>
                <w:b/>
                <w:color w:val="FFFFFF"/>
                <w:sz w:val="20"/>
              </w:rPr>
              <w:t>Time Commitment</w:t>
            </w:r>
          </w:p>
        </w:tc>
      </w:tr>
      <w:tr>
        <w:tc>
          <w:tcPr>
            <w:tcW w:type="dxa" w:w="2340"/>
          </w:tcPr>
          <w:p>
            <w:r>
              <w:rPr>
                <w:sz w:val="20"/>
              </w:rPr>
              <w:t>Chief Data Officer</w:t>
            </w:r>
          </w:p>
        </w:tc>
        <w:tc>
          <w:tcPr>
            <w:tcW w:type="dxa" w:w="2340"/>
          </w:tcPr>
          <w:p>
            <w:r>
              <w:rPr>
                <w:sz w:val="20"/>
              </w:rPr>
              <w:t>Executive sponsor, governance authority</w:t>
            </w:r>
          </w:p>
        </w:tc>
        <w:tc>
          <w:tcPr>
            <w:tcW w:type="dxa" w:w="2340"/>
          </w:tcPr>
          <w:p>
            <w:r>
              <w:rPr>
                <w:sz w:val="20"/>
              </w:rPr>
              <w:t>Leadership, strategy</w:t>
            </w:r>
          </w:p>
        </w:tc>
        <w:tc>
          <w:tcPr>
            <w:tcW w:type="dxa" w:w="2340"/>
          </w:tcPr>
          <w:p>
            <w:r>
              <w:rPr>
                <w:sz w:val="20"/>
              </w:rPr>
              <w:t>5-10% program time</w:t>
            </w:r>
          </w:p>
        </w:tc>
      </w:tr>
      <w:tr>
        <w:tc>
          <w:tcPr>
            <w:tcW w:type="dxa" w:w="2340"/>
            <w:shd w:fill="F4F6FA" w:val="clear"/>
          </w:tcPr>
          <w:p>
            <w:r>
              <w:rPr>
                <w:sz w:val="20"/>
              </w:rPr>
              <w:t>Data Domain Owner</w:t>
            </w:r>
          </w:p>
        </w:tc>
        <w:tc>
          <w:tcPr>
            <w:tcW w:type="dxa" w:w="2340"/>
            <w:shd w:fill="F4F6FA" w:val="clear"/>
          </w:tcPr>
          <w:p>
            <w:r>
              <w:rPr>
                <w:sz w:val="20"/>
              </w:rPr>
              <w:t>Business accountability for domain quality</w:t>
            </w:r>
          </w:p>
        </w:tc>
        <w:tc>
          <w:tcPr>
            <w:tcW w:type="dxa" w:w="2340"/>
            <w:shd w:fill="F4F6FA" w:val="clear"/>
          </w:tcPr>
          <w:p>
            <w:r>
              <w:rPr>
                <w:sz w:val="20"/>
              </w:rPr>
              <w:t>Domain expertise, business acumen</w:t>
            </w:r>
          </w:p>
        </w:tc>
        <w:tc>
          <w:tcPr>
            <w:tcW w:type="dxa" w:w="2340"/>
            <w:shd w:fill="F4F6FA" w:val="clear"/>
          </w:tcPr>
          <w:p>
            <w:r>
              <w:rPr>
                <w:sz w:val="20"/>
              </w:rPr>
              <w:t>20-30%</w:t>
            </w:r>
          </w:p>
        </w:tc>
      </w:tr>
      <w:tr>
        <w:tc>
          <w:tcPr>
            <w:tcW w:type="dxa" w:w="2340"/>
          </w:tcPr>
          <w:p>
            <w:r>
              <w:rPr>
                <w:sz w:val="20"/>
              </w:rPr>
              <w:t>Data Steward</w:t>
            </w:r>
          </w:p>
        </w:tc>
        <w:tc>
          <w:tcPr>
            <w:tcW w:type="dxa" w:w="2340"/>
          </w:tcPr>
          <w:p>
            <w:r>
              <w:rPr>
                <w:sz w:val="20"/>
              </w:rPr>
              <w:t>Day-to-day exception resolution, monitoring</w:t>
            </w:r>
          </w:p>
        </w:tc>
        <w:tc>
          <w:tcPr>
            <w:tcW w:type="dxa" w:w="2340"/>
          </w:tcPr>
          <w:p>
            <w:r>
              <w:rPr>
                <w:sz w:val="20"/>
              </w:rPr>
              <w:t>Domain knowledge, tools proficiency</w:t>
            </w:r>
          </w:p>
        </w:tc>
        <w:tc>
          <w:tcPr>
            <w:tcW w:type="dxa" w:w="2340"/>
          </w:tcPr>
          <w:p>
            <w:r>
              <w:rPr>
                <w:sz w:val="20"/>
              </w:rPr>
              <w:t>50-100%</w:t>
            </w:r>
          </w:p>
        </w:tc>
      </w:tr>
      <w:tr>
        <w:tc>
          <w:tcPr>
            <w:tcW w:type="dxa" w:w="2340"/>
            <w:shd w:fill="F4F6FA" w:val="clear"/>
          </w:tcPr>
          <w:p>
            <w:r>
              <w:rPr>
                <w:sz w:val="20"/>
              </w:rPr>
              <w:t>Data Custodian (IT)</w:t>
            </w:r>
          </w:p>
        </w:tc>
        <w:tc>
          <w:tcPr>
            <w:tcW w:type="dxa" w:w="2340"/>
            <w:shd w:fill="F4F6FA" w:val="clear"/>
          </w:tcPr>
          <w:p>
            <w:r>
              <w:rPr>
                <w:sz w:val="20"/>
              </w:rPr>
              <w:t>Technical implementation, platform operations</w:t>
            </w:r>
          </w:p>
        </w:tc>
        <w:tc>
          <w:tcPr>
            <w:tcW w:type="dxa" w:w="2340"/>
            <w:shd w:fill="F4F6FA" w:val="clear"/>
          </w:tcPr>
          <w:p>
            <w:r>
              <w:rPr>
                <w:sz w:val="20"/>
              </w:rPr>
              <w:t>Reltio platform, API, SQL</w:t>
            </w:r>
          </w:p>
        </w:tc>
        <w:tc>
          <w:tcPr>
            <w:tcW w:type="dxa" w:w="2340"/>
            <w:shd w:fill="F4F6FA" w:val="clear"/>
          </w:tcPr>
          <w:p>
            <w:r>
              <w:rPr>
                <w:sz w:val="20"/>
              </w:rPr>
              <w:t>100%</w:t>
            </w:r>
          </w:p>
        </w:tc>
      </w:tr>
      <w:tr>
        <w:tc>
          <w:tcPr>
            <w:tcW w:type="dxa" w:w="2340"/>
          </w:tcPr>
          <w:p>
            <w:r>
              <w:rPr>
                <w:sz w:val="20"/>
              </w:rPr>
              <w:t>MDM Business Analyst</w:t>
            </w:r>
          </w:p>
        </w:tc>
        <w:tc>
          <w:tcPr>
            <w:tcW w:type="dxa" w:w="2340"/>
          </w:tcPr>
          <w:p>
            <w:r>
              <w:rPr>
                <w:sz w:val="20"/>
              </w:rPr>
              <w:t>Requirements, acceptance criteria, training</w:t>
            </w:r>
          </w:p>
        </w:tc>
        <w:tc>
          <w:tcPr>
            <w:tcW w:type="dxa" w:w="2340"/>
          </w:tcPr>
          <w:p>
            <w:r>
              <w:rPr>
                <w:sz w:val="20"/>
              </w:rPr>
              <w:t>Analysis, documentation</w:t>
            </w:r>
          </w:p>
        </w:tc>
        <w:tc>
          <w:tcPr>
            <w:tcW w:type="dxa" w:w="2340"/>
          </w:tcPr>
          <w:p>
            <w:r>
              <w:rPr>
                <w:sz w:val="20"/>
              </w:rPr>
              <w:t>100%</w:t>
            </w:r>
          </w:p>
        </w:tc>
      </w:tr>
      <w:tr>
        <w:tc>
          <w:tcPr>
            <w:tcW w:type="dxa" w:w="2340"/>
            <w:shd w:fill="F4F6FA" w:val="clear"/>
          </w:tcPr>
          <w:p>
            <w:r>
              <w:rPr>
                <w:sz w:val="20"/>
              </w:rPr>
              <w:t>Data Quality Analyst</w:t>
            </w:r>
          </w:p>
        </w:tc>
        <w:tc>
          <w:tcPr>
            <w:tcW w:type="dxa" w:w="2340"/>
            <w:shd w:fill="F4F6FA" w:val="clear"/>
          </w:tcPr>
          <w:p>
            <w:r>
              <w:rPr>
                <w:sz w:val="20"/>
              </w:rPr>
              <w:t>DQ rule authoring, metric reporting</w:t>
            </w:r>
          </w:p>
        </w:tc>
        <w:tc>
          <w:tcPr>
            <w:tcW w:type="dxa" w:w="2340"/>
            <w:shd w:fill="F4F6FA" w:val="clear"/>
          </w:tcPr>
          <w:p>
            <w:r>
              <w:rPr>
                <w:sz w:val="20"/>
              </w:rPr>
              <w:t>DQ tools, statistics, SQL</w:t>
            </w:r>
          </w:p>
        </w:tc>
        <w:tc>
          <w:tcPr>
            <w:tcW w:type="dxa" w:w="2340"/>
            <w:shd w:fill="F4F6FA" w:val="clear"/>
          </w:tcPr>
          <w:p>
            <w:r>
              <w:rPr>
                <w:sz w:val="20"/>
              </w:rPr>
              <w:t>100%</w:t>
            </w:r>
          </w:p>
        </w:tc>
      </w:tr>
    </w:tbl>
    <w:p/>
    <w:p>
      <w:pPr>
        <w:pStyle w:val="Heading1"/>
      </w:pPr>
      <w:r>
        <w:t>3. Policy Framework</w:t>
      </w:r>
    </w:p>
    <w:p>
      <w:pPr>
        <w:pStyle w:val="Heading2"/>
      </w:pPr>
      <w:r>
        <w:t>3.1 Core Data Policies</w:t>
      </w:r>
    </w:p>
    <w:p>
      <w:pPr>
        <w:pStyle w:val="ListNumber"/>
      </w:pPr>
      <w:r>
        <w:t>Master Data Ownership Policy: Each attribute must have a designated authoritative source system</w:t>
      </w:r>
    </w:p>
    <w:p>
      <w:pPr>
        <w:pStyle w:val="ListNumber"/>
      </w:pPr>
      <w:r>
        <w:t>Data Quality Standards Policy: Minimum completeness, accuracy, and uniqueness thresholds by entity type</w:t>
      </w:r>
    </w:p>
    <w:p>
      <w:pPr>
        <w:pStyle w:val="ListNumber"/>
      </w:pPr>
      <w:r>
        <w:t>Data Retention Policy: Master record lifecycle and archive rules aligned to legal hold requirements</w:t>
      </w:r>
    </w:p>
    <w:p>
      <w:pPr>
        <w:pStyle w:val="ListNumber"/>
      </w:pPr>
      <w:r>
        <w:t>Change Management Policy: All entity model changes require governance approval and testing</w:t>
      </w:r>
    </w:p>
    <w:p>
      <w:pPr>
        <w:pStyle w:val="ListNumber"/>
      </w:pPr>
      <w:r>
        <w:t>Access Control Policy: Data access granted based on business role, not individual request</w:t>
      </w:r>
    </w:p>
    <w:p>
      <w:pPr>
        <w:pStyle w:val="ListNumber"/>
      </w:pPr>
      <w:r>
        <w:t>PII Handling Policy: Defined controls for sensitive attributes including masking, consent, and erasure</w:t>
      </w:r>
    </w:p>
    <w:p>
      <w:pPr>
        <w:pStyle w:val="Heading2"/>
      </w:pPr>
      <w:r>
        <w:t>3.2 Policy Exception Process</w:t>
      </w:r>
    </w:p>
    <w:p>
      <w:r>
        <w:t>Policy exceptions may be requested via the governance ticketing system. Exceptions require Domain Owner approval for minor deviations and Council approval for major policy waivers. All approved exceptions are time-bound (maximum 90 days) with mandatory review.</w:t>
      </w:r>
    </w:p>
    <w:p>
      <w:pPr>
        <w:pStyle w:val="Heading1"/>
      </w:pPr>
      <w:r>
        <w:t>4. Decision Rights (RACI)</w:t>
      </w:r>
    </w:p>
    <w:tbl>
      <w:tblPr>
        <w:tblStyle w:val="TableGrid"/>
        <w:tblW w:type="auto" w:w="0"/>
        <w:tblLayout w:type="autofit"/>
        <w:tblLook w:firstColumn="1" w:firstRow="1" w:lastColumn="0" w:lastRow="0" w:noHBand="0" w:noVBand="1" w:val="04A0"/>
      </w:tblPr>
      <w:tblGrid>
        <w:gridCol w:w="1872"/>
        <w:gridCol w:w="1872"/>
        <w:gridCol w:w="1872"/>
        <w:gridCol w:w="1872"/>
        <w:gridCol w:w="1872"/>
      </w:tblGrid>
      <w:tr>
        <w:tc>
          <w:tcPr>
            <w:tcW w:type="dxa" w:w="1872"/>
            <w:shd w:fill="0C548A" w:val="clear"/>
          </w:tcPr>
          <w:p>
            <w:r>
              <w:rPr>
                <w:b/>
                <w:color w:val="FFFFFF"/>
                <w:sz w:val="20"/>
              </w:rPr>
              <w:t>Decision</w:t>
            </w:r>
          </w:p>
        </w:tc>
        <w:tc>
          <w:tcPr>
            <w:tcW w:type="dxa" w:w="1872"/>
            <w:shd w:fill="0C548A" w:val="clear"/>
          </w:tcPr>
          <w:p>
            <w:r>
              <w:rPr>
                <w:b/>
                <w:color w:val="FFFFFF"/>
                <w:sz w:val="20"/>
              </w:rPr>
              <w:t>CDO</w:t>
            </w:r>
          </w:p>
        </w:tc>
        <w:tc>
          <w:tcPr>
            <w:tcW w:type="dxa" w:w="1872"/>
            <w:shd w:fill="0C548A" w:val="clear"/>
          </w:tcPr>
          <w:p>
            <w:r>
              <w:rPr>
                <w:b/>
                <w:color w:val="FFFFFF"/>
                <w:sz w:val="20"/>
              </w:rPr>
              <w:t>Domain Owner</w:t>
            </w:r>
          </w:p>
        </w:tc>
        <w:tc>
          <w:tcPr>
            <w:tcW w:type="dxa" w:w="1872"/>
            <w:shd w:fill="0C548A" w:val="clear"/>
          </w:tcPr>
          <w:p>
            <w:r>
              <w:rPr>
                <w:b/>
                <w:color w:val="FFFFFF"/>
                <w:sz w:val="20"/>
              </w:rPr>
              <w:t>Steward</w:t>
            </w:r>
          </w:p>
        </w:tc>
        <w:tc>
          <w:tcPr>
            <w:tcW w:type="dxa" w:w="1872"/>
            <w:shd w:fill="0C548A" w:val="clear"/>
          </w:tcPr>
          <w:p>
            <w:r>
              <w:rPr>
                <w:b/>
                <w:color w:val="FFFFFF"/>
                <w:sz w:val="20"/>
              </w:rPr>
              <w:t>IT Custodian</w:t>
            </w:r>
          </w:p>
        </w:tc>
      </w:tr>
      <w:tr>
        <w:tc>
          <w:tcPr>
            <w:tcW w:type="dxa" w:w="1872"/>
          </w:tcPr>
          <w:p>
            <w:r>
              <w:rPr>
                <w:sz w:val="20"/>
              </w:rPr>
              <w:t>New entity type approval</w:t>
            </w:r>
          </w:p>
        </w:tc>
        <w:tc>
          <w:tcPr>
            <w:tcW w:type="dxa" w:w="1872"/>
          </w:tcPr>
          <w:p>
            <w:r>
              <w:rPr>
                <w:sz w:val="20"/>
              </w:rPr>
              <w:t>A</w:t>
            </w:r>
          </w:p>
        </w:tc>
        <w:tc>
          <w:tcPr>
            <w:tcW w:type="dxa" w:w="1872"/>
          </w:tcPr>
          <w:p>
            <w:r>
              <w:rPr>
                <w:sz w:val="20"/>
              </w:rPr>
              <w:t>R/C</w:t>
            </w:r>
          </w:p>
        </w:tc>
        <w:tc>
          <w:tcPr>
            <w:tcW w:type="dxa" w:w="1872"/>
          </w:tcPr>
          <w:p>
            <w:r>
              <w:rPr>
                <w:sz w:val="20"/>
              </w:rPr>
              <w:t>I</w:t>
            </w:r>
          </w:p>
        </w:tc>
        <w:tc>
          <w:tcPr>
            <w:tcW w:type="dxa" w:w="1872"/>
          </w:tcPr>
          <w:p>
            <w:r>
              <w:rPr>
                <w:sz w:val="20"/>
              </w:rPr>
              <w:t>I</w:t>
            </w:r>
          </w:p>
        </w:tc>
      </w:tr>
      <w:tr>
        <w:tc>
          <w:tcPr>
            <w:tcW w:type="dxa" w:w="1872"/>
            <w:shd w:fill="F4F6FA" w:val="clear"/>
          </w:tcPr>
          <w:p>
            <w:r>
              <w:rPr>
                <w:sz w:val="20"/>
              </w:rPr>
              <w:t>Source system priority change</w:t>
            </w:r>
          </w:p>
        </w:tc>
        <w:tc>
          <w:tcPr>
            <w:tcW w:type="dxa" w:w="1872"/>
            <w:shd w:fill="F4F6FA" w:val="clear"/>
          </w:tcPr>
          <w:p>
            <w:r>
              <w:rPr>
                <w:sz w:val="20"/>
              </w:rPr>
              <w:t>C</w:t>
            </w:r>
          </w:p>
        </w:tc>
        <w:tc>
          <w:tcPr>
            <w:tcW w:type="dxa" w:w="1872"/>
            <w:shd w:fill="F4F6FA" w:val="clear"/>
          </w:tcPr>
          <w:p>
            <w:r>
              <w:rPr>
                <w:sz w:val="20"/>
              </w:rPr>
              <w:t>A/R</w:t>
            </w:r>
          </w:p>
        </w:tc>
        <w:tc>
          <w:tcPr>
            <w:tcW w:type="dxa" w:w="1872"/>
            <w:shd w:fill="F4F6FA" w:val="clear"/>
          </w:tcPr>
          <w:p>
            <w:r>
              <w:rPr>
                <w:sz w:val="20"/>
              </w:rPr>
              <w:t>C</w:t>
            </w:r>
          </w:p>
        </w:tc>
        <w:tc>
          <w:tcPr>
            <w:tcW w:type="dxa" w:w="1872"/>
            <w:shd w:fill="F4F6FA" w:val="clear"/>
          </w:tcPr>
          <w:p>
            <w:r>
              <w:rPr>
                <w:sz w:val="20"/>
              </w:rPr>
              <w:t>I</w:t>
            </w:r>
          </w:p>
        </w:tc>
      </w:tr>
      <w:tr>
        <w:tc>
          <w:tcPr>
            <w:tcW w:type="dxa" w:w="1872"/>
          </w:tcPr>
          <w:p>
            <w:r>
              <w:rPr>
                <w:sz w:val="20"/>
              </w:rPr>
              <w:t>Match rule threshold change</w:t>
            </w:r>
          </w:p>
        </w:tc>
        <w:tc>
          <w:tcPr>
            <w:tcW w:type="dxa" w:w="1872"/>
          </w:tcPr>
          <w:p>
            <w:r>
              <w:rPr>
                <w:sz w:val="20"/>
              </w:rPr>
              <w:t>I</w:t>
            </w:r>
          </w:p>
        </w:tc>
        <w:tc>
          <w:tcPr>
            <w:tcW w:type="dxa" w:w="1872"/>
          </w:tcPr>
          <w:p>
            <w:r>
              <w:rPr>
                <w:sz w:val="20"/>
              </w:rPr>
              <w:t>A</w:t>
            </w:r>
          </w:p>
        </w:tc>
        <w:tc>
          <w:tcPr>
            <w:tcW w:type="dxa" w:w="1872"/>
          </w:tcPr>
          <w:p>
            <w:r>
              <w:rPr>
                <w:sz w:val="20"/>
              </w:rPr>
              <w:t>C</w:t>
            </w:r>
          </w:p>
        </w:tc>
        <w:tc>
          <w:tcPr>
            <w:tcW w:type="dxa" w:w="1872"/>
          </w:tcPr>
          <w:p>
            <w:r>
              <w:rPr>
                <w:sz w:val="20"/>
              </w:rPr>
              <w:t>R</w:t>
            </w:r>
          </w:p>
        </w:tc>
      </w:tr>
      <w:tr>
        <w:tc>
          <w:tcPr>
            <w:tcW w:type="dxa" w:w="1872"/>
            <w:shd w:fill="F4F6FA" w:val="clear"/>
          </w:tcPr>
          <w:p>
            <w:r>
              <w:rPr>
                <w:sz w:val="20"/>
              </w:rPr>
              <w:t>Data quality threshold revision</w:t>
            </w:r>
          </w:p>
        </w:tc>
        <w:tc>
          <w:tcPr>
            <w:tcW w:type="dxa" w:w="1872"/>
            <w:shd w:fill="F4F6FA" w:val="clear"/>
          </w:tcPr>
          <w:p>
            <w:r>
              <w:rPr>
                <w:sz w:val="20"/>
              </w:rPr>
              <w:t>I</w:t>
            </w:r>
          </w:p>
        </w:tc>
        <w:tc>
          <w:tcPr>
            <w:tcW w:type="dxa" w:w="1872"/>
            <w:shd w:fill="F4F6FA" w:val="clear"/>
          </w:tcPr>
          <w:p>
            <w:r>
              <w:rPr>
                <w:sz w:val="20"/>
              </w:rPr>
              <w:t>A/R</w:t>
            </w:r>
          </w:p>
        </w:tc>
        <w:tc>
          <w:tcPr>
            <w:tcW w:type="dxa" w:w="1872"/>
            <w:shd w:fill="F4F6FA" w:val="clear"/>
          </w:tcPr>
          <w:p>
            <w:r>
              <w:rPr>
                <w:sz w:val="20"/>
              </w:rPr>
              <w:t>C</w:t>
            </w:r>
          </w:p>
        </w:tc>
        <w:tc>
          <w:tcPr>
            <w:tcW w:type="dxa" w:w="1872"/>
            <w:shd w:fill="F4F6FA" w:val="clear"/>
          </w:tcPr>
          <w:p>
            <w:r>
              <w:rPr>
                <w:sz w:val="20"/>
              </w:rPr>
              <w:t>I</w:t>
            </w:r>
          </w:p>
        </w:tc>
      </w:tr>
      <w:tr>
        <w:tc>
          <w:tcPr>
            <w:tcW w:type="dxa" w:w="1872"/>
          </w:tcPr>
          <w:p>
            <w:r>
              <w:rPr>
                <w:sz w:val="20"/>
              </w:rPr>
              <w:t>PII attribute classification</w:t>
            </w:r>
          </w:p>
        </w:tc>
        <w:tc>
          <w:tcPr>
            <w:tcW w:type="dxa" w:w="1872"/>
          </w:tcPr>
          <w:p>
            <w:r>
              <w:rPr>
                <w:sz w:val="20"/>
              </w:rPr>
              <w:t>A</w:t>
            </w:r>
          </w:p>
        </w:tc>
        <w:tc>
          <w:tcPr>
            <w:tcW w:type="dxa" w:w="1872"/>
          </w:tcPr>
          <w:p>
            <w:r>
              <w:rPr>
                <w:sz w:val="20"/>
              </w:rPr>
              <w:t>R</w:t>
            </w:r>
          </w:p>
        </w:tc>
        <w:tc>
          <w:tcPr>
            <w:tcW w:type="dxa" w:w="1872"/>
          </w:tcPr>
          <w:p>
            <w:r>
              <w:rPr>
                <w:sz w:val="20"/>
              </w:rPr>
              <w:t>C</w:t>
            </w:r>
          </w:p>
        </w:tc>
        <w:tc>
          <w:tcPr>
            <w:tcW w:type="dxa" w:w="1872"/>
          </w:tcPr>
          <w:p>
            <w:r>
              <w:rPr>
                <w:sz w:val="20"/>
              </w:rPr>
              <w:t>I</w:t>
            </w:r>
          </w:p>
        </w:tc>
      </w:tr>
      <w:tr>
        <w:tc>
          <w:tcPr>
            <w:tcW w:type="dxa" w:w="1872"/>
            <w:shd w:fill="F4F6FA" w:val="clear"/>
          </w:tcPr>
          <w:p>
            <w:r>
              <w:rPr>
                <w:sz w:val="20"/>
              </w:rPr>
              <w:t>Platform configuration change</w:t>
            </w:r>
          </w:p>
        </w:tc>
        <w:tc>
          <w:tcPr>
            <w:tcW w:type="dxa" w:w="1872"/>
            <w:shd w:fill="F4F6FA" w:val="clear"/>
          </w:tcPr>
          <w:p>
            <w:r>
              <w:rPr>
                <w:sz w:val="20"/>
              </w:rPr>
              <w:t>I</w:t>
            </w:r>
          </w:p>
        </w:tc>
        <w:tc>
          <w:tcPr>
            <w:tcW w:type="dxa" w:w="1872"/>
            <w:shd w:fill="F4F6FA" w:val="clear"/>
          </w:tcPr>
          <w:p>
            <w:r>
              <w:rPr>
                <w:sz w:val="20"/>
              </w:rPr>
              <w:t>C</w:t>
            </w:r>
          </w:p>
        </w:tc>
        <w:tc>
          <w:tcPr>
            <w:tcW w:type="dxa" w:w="1872"/>
            <w:shd w:fill="F4F6FA" w:val="clear"/>
          </w:tcPr>
          <w:p>
            <w:r>
              <w:rPr>
                <w:sz w:val="20"/>
              </w:rPr>
              <w:t>I</w:t>
            </w:r>
          </w:p>
        </w:tc>
        <w:tc>
          <w:tcPr>
            <w:tcW w:type="dxa" w:w="1872"/>
            <w:shd w:fill="F4F6FA" w:val="clear"/>
          </w:tcPr>
          <w:p>
            <w:r>
              <w:rPr>
                <w:sz w:val="20"/>
              </w:rPr>
              <w:t>A/R</w:t>
            </w:r>
          </w:p>
        </w:tc>
      </w:tr>
      <w:tr>
        <w:tc>
          <w:tcPr>
            <w:tcW w:type="dxa" w:w="1872"/>
          </w:tcPr>
          <w:p>
            <w:r>
              <w:rPr>
                <w:sz w:val="20"/>
              </w:rPr>
              <w:t>Data exception resolution</w:t>
            </w:r>
          </w:p>
        </w:tc>
        <w:tc>
          <w:tcPr>
            <w:tcW w:type="dxa" w:w="1872"/>
          </w:tcPr>
          <w:p>
            <w:r>
              <w:rPr>
                <w:sz w:val="20"/>
              </w:rPr>
              <w:t>I</w:t>
            </w:r>
          </w:p>
        </w:tc>
        <w:tc>
          <w:tcPr>
            <w:tcW w:type="dxa" w:w="1872"/>
          </w:tcPr>
          <w:p>
            <w:r>
              <w:rPr>
                <w:sz w:val="20"/>
              </w:rPr>
              <w:t>C</w:t>
            </w:r>
          </w:p>
        </w:tc>
        <w:tc>
          <w:tcPr>
            <w:tcW w:type="dxa" w:w="1872"/>
          </w:tcPr>
          <w:p>
            <w:r>
              <w:rPr>
                <w:sz w:val="20"/>
              </w:rPr>
              <w:t>A/R</w:t>
            </w:r>
          </w:p>
        </w:tc>
        <w:tc>
          <w:tcPr>
            <w:tcW w:type="dxa" w:w="1872"/>
          </w:tcPr>
          <w:p>
            <w:r>
              <w:rPr>
                <w:sz w:val="20"/>
              </w:rPr>
              <w:t>I</w:t>
            </w:r>
          </w:p>
        </w:tc>
      </w:tr>
      <w:tr>
        <w:tc>
          <w:tcPr>
            <w:tcW w:type="dxa" w:w="1872"/>
            <w:shd w:fill="F4F6FA" w:val="clear"/>
          </w:tcPr>
          <w:p>
            <w:r>
              <w:rPr>
                <w:sz w:val="20"/>
              </w:rPr>
              <w:t>Bulk data deletion request</w:t>
            </w:r>
          </w:p>
        </w:tc>
        <w:tc>
          <w:tcPr>
            <w:tcW w:type="dxa" w:w="1872"/>
            <w:shd w:fill="F4F6FA" w:val="clear"/>
          </w:tcPr>
          <w:p>
            <w:r>
              <w:rPr>
                <w:sz w:val="20"/>
              </w:rPr>
              <w:t>A</w:t>
            </w:r>
          </w:p>
        </w:tc>
        <w:tc>
          <w:tcPr>
            <w:tcW w:type="dxa" w:w="1872"/>
            <w:shd w:fill="F4F6FA" w:val="clear"/>
          </w:tcPr>
          <w:p>
            <w:r>
              <w:rPr>
                <w:sz w:val="20"/>
              </w:rPr>
              <w:t>C</w:t>
            </w:r>
          </w:p>
        </w:tc>
        <w:tc>
          <w:tcPr>
            <w:tcW w:type="dxa" w:w="1872"/>
            <w:shd w:fill="F4F6FA" w:val="clear"/>
          </w:tcPr>
          <w:p>
            <w:r>
              <w:rPr>
                <w:sz w:val="20"/>
              </w:rPr>
              <w:t>I</w:t>
            </w:r>
          </w:p>
        </w:tc>
        <w:tc>
          <w:tcPr>
            <w:tcW w:type="dxa" w:w="1872"/>
            <w:shd w:fill="F4F6FA" w:val="clear"/>
          </w:tcPr>
          <w:p>
            <w:r>
              <w:rPr>
                <w:sz w:val="20"/>
              </w:rPr>
              <w:t>R</w:t>
            </w:r>
          </w:p>
        </w:tc>
      </w:tr>
    </w:tbl>
    <w:p/>
    <w:p>
      <w:r>
        <w:t>RACI: R = Responsible, A = Accountable, C = Consulted, I = Informed</w:t>
      </w:r>
    </w:p>
    <w:p>
      <w:pPr>
        <w:pStyle w:val="Heading1"/>
      </w:pPr>
      <w:r>
        <w:t>5. Data Stewardship Model</w:t>
      </w:r>
    </w:p>
    <w:p>
      <w:pPr>
        <w:pStyle w:val="Heading2"/>
      </w:pPr>
      <w:r>
        <w:t>5.1 Stewardship Workflow</w:t>
      </w:r>
    </w:p>
    <w:p>
      <w:pPr>
        <w:pStyle w:val="ListBullet"/>
      </w:pPr>
      <w:r>
        <w:t>Exceptions generated by DQ rules, match conflicts, or enrichment failures routed to Reltio task queue</w:t>
      </w:r>
    </w:p>
    <w:p>
      <w:pPr>
        <w:pStyle w:val="ListBullet"/>
      </w:pPr>
      <w:r>
        <w:t>Stewards assigned tasks based on domain and territory routing rules</w:t>
      </w:r>
    </w:p>
    <w:p>
      <w:pPr>
        <w:pStyle w:val="ListBullet"/>
      </w:pPr>
      <w:r>
        <w:t>SLA: Priority 1 (P1) exceptions resolved within 4 hours; P2 within 24 hours; P3 within 5 business days</w:t>
      </w:r>
    </w:p>
    <w:p>
      <w:pPr>
        <w:pStyle w:val="ListBullet"/>
      </w:pPr>
      <w:r>
        <w:t>Unresolved exceptions auto-escalate to Domain Owner at 120% of SLA threshold</w:t>
      </w:r>
    </w:p>
    <w:p>
      <w:pPr>
        <w:pStyle w:val="ListBullet"/>
      </w:pPr>
      <w:r>
        <w:t>All decisions logged in Reltio audit trail for compliance reporting</w:t>
      </w:r>
    </w:p>
    <w:p>
      <w:pPr>
        <w:pStyle w:val="Heading2"/>
      </w:pPr>
      <w:r>
        <w:t>5.2 Steward Tooling</w:t>
      </w:r>
    </w:p>
    <w:tbl>
      <w:tblPr>
        <w:tblStyle w:val="TableGrid"/>
        <w:tblW w:type="auto" w:w="0"/>
        <w:tblLayout w:type="autofit"/>
        <w:tblLook w:firstColumn="1" w:firstRow="1" w:lastColumn="0" w:lastRow="0" w:noHBand="0" w:noVBand="1" w:val="04A0"/>
      </w:tblPr>
      <w:tblGrid>
        <w:gridCol w:w="3120"/>
        <w:gridCol w:w="3120"/>
        <w:gridCol w:w="3120"/>
      </w:tblGrid>
      <w:tr>
        <w:tc>
          <w:tcPr>
            <w:tcW w:type="dxa" w:w="3120"/>
            <w:shd w:fill="0C548A" w:val="clear"/>
          </w:tcPr>
          <w:p>
            <w:r>
              <w:rPr>
                <w:b/>
                <w:color w:val="FFFFFF"/>
                <w:sz w:val="20"/>
              </w:rPr>
              <w:t>Tool</w:t>
            </w:r>
          </w:p>
        </w:tc>
        <w:tc>
          <w:tcPr>
            <w:tcW w:type="dxa" w:w="3120"/>
            <w:shd w:fill="0C548A" w:val="clear"/>
          </w:tcPr>
          <w:p>
            <w:r>
              <w:rPr>
                <w:b/>
                <w:color w:val="FFFFFF"/>
                <w:sz w:val="20"/>
              </w:rPr>
              <w:t>Purpose</w:t>
            </w:r>
          </w:p>
        </w:tc>
        <w:tc>
          <w:tcPr>
            <w:tcW w:type="dxa" w:w="3120"/>
            <w:shd w:fill="0C548A" w:val="clear"/>
          </w:tcPr>
          <w:p>
            <w:r>
              <w:rPr>
                <w:b/>
                <w:color w:val="FFFFFF"/>
                <w:sz w:val="20"/>
              </w:rPr>
              <w:t>Access Level</w:t>
            </w:r>
          </w:p>
        </w:tc>
      </w:tr>
      <w:tr>
        <w:tc>
          <w:tcPr>
            <w:tcW w:type="dxa" w:w="3120"/>
          </w:tcPr>
          <w:p>
            <w:r>
              <w:rPr>
                <w:sz w:val="20"/>
              </w:rPr>
              <w:t>Reltio UI</w:t>
            </w:r>
          </w:p>
        </w:tc>
        <w:tc>
          <w:tcPr>
            <w:tcW w:type="dxa" w:w="3120"/>
          </w:tcPr>
          <w:p>
            <w:r>
              <w:rPr>
                <w:sz w:val="20"/>
              </w:rPr>
              <w:t>Exception review, entity editing, workflow management</w:t>
            </w:r>
          </w:p>
        </w:tc>
        <w:tc>
          <w:tcPr>
            <w:tcW w:type="dxa" w:w="3120"/>
          </w:tcPr>
          <w:p>
            <w:r>
              <w:rPr>
                <w:sz w:val="20"/>
              </w:rPr>
              <w:t>Full steward access</w:t>
            </w:r>
          </w:p>
        </w:tc>
      </w:tr>
      <w:tr>
        <w:tc>
          <w:tcPr>
            <w:tcW w:type="dxa" w:w="3120"/>
            <w:shd w:fill="F4F6FA" w:val="clear"/>
          </w:tcPr>
          <w:p>
            <w:r>
              <w:rPr>
                <w:sz w:val="20"/>
              </w:rPr>
              <w:t>DQ Dashboard</w:t>
            </w:r>
          </w:p>
        </w:tc>
        <w:tc>
          <w:tcPr>
            <w:tcW w:type="dxa" w:w="3120"/>
            <w:shd w:fill="F4F6FA" w:val="clear"/>
          </w:tcPr>
          <w:p>
            <w:r>
              <w:rPr>
                <w:sz w:val="20"/>
              </w:rPr>
              <w:t>Quality metric monitoring, trend analysis</w:t>
            </w:r>
          </w:p>
        </w:tc>
        <w:tc>
          <w:tcPr>
            <w:tcW w:type="dxa" w:w="3120"/>
            <w:shd w:fill="F4F6FA" w:val="clear"/>
          </w:tcPr>
          <w:p>
            <w:r>
              <w:rPr>
                <w:sz w:val="20"/>
              </w:rPr>
              <w:t>Read-only monitoring</w:t>
            </w:r>
          </w:p>
        </w:tc>
      </w:tr>
      <w:tr>
        <w:tc>
          <w:tcPr>
            <w:tcW w:type="dxa" w:w="3120"/>
          </w:tcPr>
          <w:p>
            <w:r>
              <w:rPr>
                <w:sz w:val="20"/>
              </w:rPr>
              <w:t>Governance Portal</w:t>
            </w:r>
          </w:p>
        </w:tc>
        <w:tc>
          <w:tcPr>
            <w:tcW w:type="dxa" w:w="3120"/>
          </w:tcPr>
          <w:p>
            <w:r>
              <w:rPr>
                <w:sz w:val="20"/>
              </w:rPr>
              <w:t>Policy documentation, training, knowledge base</w:t>
            </w:r>
          </w:p>
        </w:tc>
        <w:tc>
          <w:tcPr>
            <w:tcW w:type="dxa" w:w="3120"/>
          </w:tcPr>
          <w:p>
            <w:r>
              <w:rPr>
                <w:sz w:val="20"/>
              </w:rPr>
              <w:t>All governance users</w:t>
            </w:r>
          </w:p>
        </w:tc>
      </w:tr>
      <w:tr>
        <w:tc>
          <w:tcPr>
            <w:tcW w:type="dxa" w:w="3120"/>
            <w:shd w:fill="F4F6FA" w:val="clear"/>
          </w:tcPr>
          <w:p>
            <w:r>
              <w:rPr>
                <w:sz w:val="20"/>
              </w:rPr>
              <w:t>Audit Reports</w:t>
            </w:r>
          </w:p>
        </w:tc>
        <w:tc>
          <w:tcPr>
            <w:tcW w:type="dxa" w:w="3120"/>
            <w:shd w:fill="F4F6FA" w:val="clear"/>
          </w:tcPr>
          <w:p>
            <w:r>
              <w:rPr>
                <w:sz w:val="20"/>
              </w:rPr>
              <w:t>Compliance reporting, stewardship activity</w:t>
            </w:r>
          </w:p>
        </w:tc>
        <w:tc>
          <w:tcPr>
            <w:tcW w:type="dxa" w:w="3120"/>
            <w:shd w:fill="F4F6FA" w:val="clear"/>
          </w:tcPr>
          <w:p>
            <w:r>
              <w:rPr>
                <w:sz w:val="20"/>
              </w:rPr>
              <w:t>Domain Owner + CDO</w:t>
            </w:r>
          </w:p>
        </w:tc>
      </w:tr>
    </w:tbl>
    <w:p/>
    <w:p>
      <w:pPr>
        <w:pStyle w:val="Heading1"/>
      </w:pPr>
      <w:r>
        <w:t>6. Governance Metrics &amp; KPIs</w:t>
      </w:r>
    </w:p>
    <w:tbl>
      <w:tblPr>
        <w:tblStyle w:val="TableGrid"/>
        <w:tblW w:type="auto" w:w="0"/>
        <w:tblLayout w:type="autofit"/>
        <w:tblLook w:firstColumn="1" w:firstRow="1" w:lastColumn="0" w:lastRow="0" w:noHBand="0" w:noVBand="1" w:val="04A0"/>
      </w:tblPr>
      <w:tblGrid>
        <w:gridCol w:w="2340"/>
        <w:gridCol w:w="2340"/>
        <w:gridCol w:w="2340"/>
        <w:gridCol w:w="2340"/>
      </w:tblGrid>
      <w:tr>
        <w:tc>
          <w:tcPr>
            <w:tcW w:type="dxa" w:w="2340"/>
            <w:shd w:fill="0C548A" w:val="clear"/>
          </w:tcPr>
          <w:p>
            <w:r>
              <w:rPr>
                <w:b/>
                <w:color w:val="FFFFFF"/>
                <w:sz w:val="20"/>
              </w:rPr>
              <w:t>KPI</w:t>
            </w:r>
          </w:p>
        </w:tc>
        <w:tc>
          <w:tcPr>
            <w:tcW w:type="dxa" w:w="2340"/>
            <w:shd w:fill="0C548A" w:val="clear"/>
          </w:tcPr>
          <w:p>
            <w:r>
              <w:rPr>
                <w:b/>
                <w:color w:val="FFFFFF"/>
                <w:sz w:val="20"/>
              </w:rPr>
              <w:t>Definition</w:t>
            </w:r>
          </w:p>
        </w:tc>
        <w:tc>
          <w:tcPr>
            <w:tcW w:type="dxa" w:w="2340"/>
            <w:shd w:fill="0C548A" w:val="clear"/>
          </w:tcPr>
          <w:p>
            <w:r>
              <w:rPr>
                <w:b/>
                <w:color w:val="FFFFFF"/>
                <w:sz w:val="20"/>
              </w:rPr>
              <w:t>Target</w:t>
            </w:r>
          </w:p>
        </w:tc>
        <w:tc>
          <w:tcPr>
            <w:tcW w:type="dxa" w:w="2340"/>
            <w:shd w:fill="0C548A" w:val="clear"/>
          </w:tcPr>
          <w:p>
            <w:r>
              <w:rPr>
                <w:b/>
                <w:color w:val="FFFFFF"/>
                <w:sz w:val="20"/>
              </w:rPr>
              <w:t>Reporting Cadence</w:t>
            </w:r>
          </w:p>
        </w:tc>
      </w:tr>
      <w:tr>
        <w:tc>
          <w:tcPr>
            <w:tcW w:type="dxa" w:w="2340"/>
          </w:tcPr>
          <w:p>
            <w:r>
              <w:rPr>
                <w:sz w:val="20"/>
              </w:rPr>
              <w:t>Data Quality Score</w:t>
            </w:r>
          </w:p>
        </w:tc>
        <w:tc>
          <w:tcPr>
            <w:tcW w:type="dxa" w:w="2340"/>
          </w:tcPr>
          <w:p>
            <w:r>
              <w:rPr>
                <w:sz w:val="20"/>
              </w:rPr>
              <w:t>Weighted composite of completeness, accuracy, uniqueness</w:t>
            </w:r>
          </w:p>
        </w:tc>
        <w:tc>
          <w:tcPr>
            <w:tcW w:type="dxa" w:w="2340"/>
          </w:tcPr>
          <w:p>
            <w:r>
              <w:rPr>
                <w:sz w:val="20"/>
              </w:rPr>
              <w:t>&gt; 95%</w:t>
            </w:r>
          </w:p>
        </w:tc>
        <w:tc>
          <w:tcPr>
            <w:tcW w:type="dxa" w:w="2340"/>
          </w:tcPr>
          <w:p>
            <w:r>
              <w:rPr>
                <w:sz w:val="20"/>
              </w:rPr>
              <w:t>Weekly</w:t>
            </w:r>
          </w:p>
        </w:tc>
      </w:tr>
      <w:tr>
        <w:tc>
          <w:tcPr>
            <w:tcW w:type="dxa" w:w="2340"/>
            <w:shd w:fill="F4F6FA" w:val="clear"/>
          </w:tcPr>
          <w:p>
            <w:r>
              <w:rPr>
                <w:sz w:val="20"/>
              </w:rPr>
              <w:t>Duplicate Rate</w:t>
            </w:r>
          </w:p>
        </w:tc>
        <w:tc>
          <w:tcPr>
            <w:tcW w:type="dxa" w:w="2340"/>
            <w:shd w:fill="F4F6FA" w:val="clear"/>
          </w:tcPr>
          <w:p>
            <w:r>
              <w:rPr>
                <w:sz w:val="20"/>
              </w:rPr>
              <w:t>% of entities with unresolved potential duplicates</w:t>
            </w:r>
          </w:p>
        </w:tc>
        <w:tc>
          <w:tcPr>
            <w:tcW w:type="dxa" w:w="2340"/>
            <w:shd w:fill="F4F6FA" w:val="clear"/>
          </w:tcPr>
          <w:p>
            <w:r>
              <w:rPr>
                <w:sz w:val="20"/>
              </w:rPr>
              <w:t>&lt; 2%</w:t>
            </w:r>
          </w:p>
        </w:tc>
        <w:tc>
          <w:tcPr>
            <w:tcW w:type="dxa" w:w="2340"/>
            <w:shd w:fill="F4F6FA" w:val="clear"/>
          </w:tcPr>
          <w:p>
            <w:r>
              <w:rPr>
                <w:sz w:val="20"/>
              </w:rPr>
              <w:t>Weekly</w:t>
            </w:r>
          </w:p>
        </w:tc>
      </w:tr>
      <w:tr>
        <w:tc>
          <w:tcPr>
            <w:tcW w:type="dxa" w:w="2340"/>
          </w:tcPr>
          <w:p>
            <w:r>
              <w:rPr>
                <w:sz w:val="20"/>
              </w:rPr>
              <w:t>Stewardship SLA</w:t>
            </w:r>
          </w:p>
        </w:tc>
        <w:tc>
          <w:tcPr>
            <w:tcW w:type="dxa" w:w="2340"/>
          </w:tcPr>
          <w:p>
            <w:r>
              <w:rPr>
                <w:sz w:val="20"/>
              </w:rPr>
              <w:t>% of exceptions resolved within SLA</w:t>
            </w:r>
          </w:p>
        </w:tc>
        <w:tc>
          <w:tcPr>
            <w:tcW w:type="dxa" w:w="2340"/>
          </w:tcPr>
          <w:p>
            <w:r>
              <w:rPr>
                <w:sz w:val="20"/>
              </w:rPr>
              <w:t>&gt; 95%</w:t>
            </w:r>
          </w:p>
        </w:tc>
        <w:tc>
          <w:tcPr>
            <w:tcW w:type="dxa" w:w="2340"/>
          </w:tcPr>
          <w:p>
            <w:r>
              <w:rPr>
                <w:sz w:val="20"/>
              </w:rPr>
              <w:t>Weekly</w:t>
            </w:r>
          </w:p>
        </w:tc>
      </w:tr>
      <w:tr>
        <w:tc>
          <w:tcPr>
            <w:tcW w:type="dxa" w:w="2340"/>
            <w:shd w:fill="F4F6FA" w:val="clear"/>
          </w:tcPr>
          <w:p>
            <w:r>
              <w:rPr>
                <w:sz w:val="20"/>
              </w:rPr>
              <w:t>Exception Backlog</w:t>
            </w:r>
          </w:p>
        </w:tc>
        <w:tc>
          <w:tcPr>
            <w:tcW w:type="dxa" w:w="2340"/>
            <w:shd w:fill="F4F6FA" w:val="clear"/>
          </w:tcPr>
          <w:p>
            <w:r>
              <w:rPr>
                <w:sz w:val="20"/>
              </w:rPr>
              <w:t>Open exceptions &gt; 7 days old</w:t>
            </w:r>
          </w:p>
        </w:tc>
        <w:tc>
          <w:tcPr>
            <w:tcW w:type="dxa" w:w="2340"/>
            <w:shd w:fill="F4F6FA" w:val="clear"/>
          </w:tcPr>
          <w:p>
            <w:r>
              <w:rPr>
                <w:sz w:val="20"/>
              </w:rPr>
              <w:t>&lt; 5% of total</w:t>
            </w:r>
          </w:p>
        </w:tc>
        <w:tc>
          <w:tcPr>
            <w:tcW w:type="dxa" w:w="2340"/>
            <w:shd w:fill="F4F6FA" w:val="clear"/>
          </w:tcPr>
          <w:p>
            <w:r>
              <w:rPr>
                <w:sz w:val="20"/>
              </w:rPr>
              <w:t>Daily</w:t>
            </w:r>
          </w:p>
        </w:tc>
      </w:tr>
      <w:tr>
        <w:tc>
          <w:tcPr>
            <w:tcW w:type="dxa" w:w="2340"/>
          </w:tcPr>
          <w:p>
            <w:r>
              <w:rPr>
                <w:sz w:val="20"/>
              </w:rPr>
              <w:t>Source Coverage</w:t>
            </w:r>
          </w:p>
        </w:tc>
        <w:tc>
          <w:tcPr>
            <w:tcW w:type="dxa" w:w="2340"/>
          </w:tcPr>
          <w:p>
            <w:r>
              <w:rPr>
                <w:sz w:val="20"/>
              </w:rPr>
              <w:t>% of source systems actively publishing to MDM</w:t>
            </w:r>
          </w:p>
        </w:tc>
        <w:tc>
          <w:tcPr>
            <w:tcW w:type="dxa" w:w="2340"/>
          </w:tcPr>
          <w:p>
            <w:r>
              <w:rPr>
                <w:sz w:val="20"/>
              </w:rPr>
              <w:t>&gt; 90%</w:t>
            </w:r>
          </w:p>
        </w:tc>
        <w:tc>
          <w:tcPr>
            <w:tcW w:type="dxa" w:w="2340"/>
          </w:tcPr>
          <w:p>
            <w:r>
              <w:rPr>
                <w:sz w:val="20"/>
              </w:rPr>
              <w:t>Monthly</w:t>
            </w:r>
          </w:p>
        </w:tc>
      </w:tr>
      <w:tr>
        <w:tc>
          <w:tcPr>
            <w:tcW w:type="dxa" w:w="2340"/>
            <w:shd w:fill="F4F6FA" w:val="clear"/>
          </w:tcPr>
          <w:p>
            <w:r>
              <w:rPr>
                <w:sz w:val="20"/>
              </w:rPr>
              <w:t>Model Stability</w:t>
            </w:r>
          </w:p>
        </w:tc>
        <w:tc>
          <w:tcPr>
            <w:tcW w:type="dxa" w:w="2340"/>
            <w:shd w:fill="F4F6FA" w:val="clear"/>
          </w:tcPr>
          <w:p>
            <w:r>
              <w:rPr>
                <w:sz w:val="20"/>
              </w:rPr>
              <w:t>Number of breaking schema changes per quarter</w:t>
            </w:r>
          </w:p>
        </w:tc>
        <w:tc>
          <w:tcPr>
            <w:tcW w:type="dxa" w:w="2340"/>
            <w:shd w:fill="F4F6FA" w:val="clear"/>
          </w:tcPr>
          <w:p>
            <w:r>
              <w:rPr>
                <w:sz w:val="20"/>
              </w:rPr>
              <w:t>&lt; 2</w:t>
            </w:r>
          </w:p>
        </w:tc>
        <w:tc>
          <w:tcPr>
            <w:tcW w:type="dxa" w:w="2340"/>
            <w:shd w:fill="F4F6FA" w:val="clear"/>
          </w:tcPr>
          <w:p>
            <w:r>
              <w:rPr>
                <w:sz w:val="20"/>
              </w:rPr>
              <w:t>Quarterly</w:t>
            </w:r>
          </w:p>
        </w:tc>
      </w:tr>
      <w:tr>
        <w:tc>
          <w:tcPr>
            <w:tcW w:type="dxa" w:w="2340"/>
          </w:tcPr>
          <w:p>
            <w:r>
              <w:rPr>
                <w:sz w:val="20"/>
              </w:rPr>
              <w:t>User Adoption</w:t>
            </w:r>
          </w:p>
        </w:tc>
        <w:tc>
          <w:tcPr>
            <w:tcW w:type="dxa" w:w="2340"/>
          </w:tcPr>
          <w:p>
            <w:r>
              <w:rPr>
                <w:sz w:val="20"/>
              </w:rPr>
              <w:t>Active steward logins per week</w:t>
            </w:r>
          </w:p>
        </w:tc>
        <w:tc>
          <w:tcPr>
            <w:tcW w:type="dxa" w:w="2340"/>
          </w:tcPr>
          <w:p>
            <w:r>
              <w:rPr>
                <w:sz w:val="20"/>
              </w:rPr>
              <w:t>100% of assigned stewards</w:t>
            </w:r>
          </w:p>
        </w:tc>
        <w:tc>
          <w:tcPr>
            <w:tcW w:type="dxa" w:w="2340"/>
          </w:tcPr>
          <w:p>
            <w:r>
              <w:rPr>
                <w:sz w:val="20"/>
              </w:rPr>
              <w:t>Monthly</w:t>
            </w:r>
          </w:p>
        </w:tc>
      </w:tr>
    </w:tbl>
    <w:p/>
    <w:p>
      <w:pPr>
        <w:pStyle w:val="Heading1"/>
      </w:pPr>
      <w:r>
        <w:t>Related Assets</w:t>
      </w:r>
    </w:p>
    <w:p>
      <w:r>
        <w:t>The following documents in the Mastech Digital Informatica Asset Library are related to this guide:</w:t>
      </w:r>
    </w:p>
    <w:tbl>
      <w:tblPr>
        <w:tblStyle w:val="TableGrid"/>
        <w:tblW w:type="auto" w:w="0"/>
        <w:tblLook w:firstColumn="1" w:firstRow="1" w:lastColumn="0" w:lastRow="0" w:noHBand="0" w:noVBand="1" w:val="04A0"/>
      </w:tblPr>
      <w:tblGrid>
        <w:gridCol w:w="4680"/>
        <w:gridCol w:w="4680"/>
      </w:tblGrid>
      <w:tr>
        <w:tc>
          <w:tcPr>
            <w:tcW w:type="dxa" w:w="4680"/>
            <w:shd w:fill="0C548A" w:val="clear"/>
          </w:tcPr>
          <w:p>
            <w:r>
              <w:rPr>
                <w:b/>
                <w:color w:val="FFFFFF"/>
                <w:sz w:val="20"/>
              </w:rPr>
              <w:t>Document</w:t>
            </w:r>
          </w:p>
        </w:tc>
        <w:tc>
          <w:tcPr>
            <w:tcW w:type="dxa" w:w="4680"/>
            <w:shd w:fill="0C548A" w:val="clear"/>
          </w:tcPr>
          <w:p>
            <w:r>
              <w:rPr>
                <w:b/>
                <w:color w:val="FFFFFF"/>
                <w:sz w:val="20"/>
              </w:rPr>
              <w:t>Category / Path</w:t>
            </w:r>
          </w:p>
        </w:tc>
      </w:tr>
      <w:tr>
        <w:tc>
          <w:tcPr>
            <w:tcW w:type="dxa" w:w="4680"/>
          </w:tcPr>
          <w:p>
            <w:r>
              <w:rPr>
                <w:sz w:val="20"/>
              </w:rPr>
              <w:t>GOV-002: Master Data Stewardship Guide</w:t>
            </w:r>
          </w:p>
        </w:tc>
        <w:tc>
          <w:tcPr>
            <w:tcW w:type="dxa" w:w="4680"/>
          </w:tcPr>
          <w:p>
            <w:r>
              <w:rPr>
                <w:sz w:val="20"/>
              </w:rPr>
              <w:t>Reltio Asset Library</w:t>
            </w:r>
          </w:p>
        </w:tc>
      </w:tr>
      <w:tr>
        <w:tc>
          <w:tcPr>
            <w:tcW w:type="dxa" w:w="4680"/>
            <w:shd w:fill="F4F6FA" w:val="clear"/>
          </w:tcPr>
          <w:p>
            <w:r>
              <w:rPr>
                <w:sz w:val="20"/>
              </w:rPr>
              <w:t>GOV-003: Business Glossary Setup</w:t>
            </w:r>
          </w:p>
        </w:tc>
        <w:tc>
          <w:tcPr>
            <w:tcW w:type="dxa" w:w="4680"/>
            <w:shd w:fill="F4F6FA" w:val="clear"/>
          </w:tcPr>
          <w:p>
            <w:r>
              <w:rPr>
                <w:sz w:val="20"/>
              </w:rPr>
              <w:t>Reltio Asset Library</w:t>
            </w:r>
          </w:p>
        </w:tc>
      </w:tr>
      <w:tr>
        <w:tc>
          <w:tcPr>
            <w:tcW w:type="dxa" w:w="4680"/>
          </w:tcPr>
          <w:p>
            <w:r>
              <w:rPr>
                <w:sz w:val="20"/>
              </w:rPr>
              <w:t>DQ-001: Data Quality Rules Engine</w:t>
            </w:r>
          </w:p>
        </w:tc>
        <w:tc>
          <w:tcPr>
            <w:tcW w:type="dxa" w:w="4680"/>
          </w:tcPr>
          <w:p>
            <w:r>
              <w:rPr>
                <w:sz w:val="20"/>
              </w:rPr>
              <w:t>Reltio Asset Library</w:t>
            </w:r>
          </w:p>
        </w:tc>
      </w:tr>
      <w:tr>
        <w:tc>
          <w:tcPr>
            <w:tcW w:type="dxa" w:w="4680"/>
            <w:shd w:fill="F4F6FA" w:val="clear"/>
          </w:tcPr>
          <w:p>
            <w:r>
              <w:rPr>
                <w:sz w:val="20"/>
              </w:rPr>
              <w:t>ARCH-001: Reltio MDM Architecture Guide</w:t>
            </w:r>
          </w:p>
        </w:tc>
        <w:tc>
          <w:tcPr>
            <w:tcW w:type="dxa" w:w="4680"/>
            <w:shd w:fill="F4F6FA" w:val="clear"/>
          </w:tcPr>
          <w:p>
            <w:r>
              <w:rPr>
                <w:sz w:val="20"/>
              </w:rPr>
              <w:t>Reltio Asset Library</w:t>
            </w:r>
          </w:p>
        </w:tc>
      </w:tr>
    </w:tbl>
    <w:p/>
    <w:sectPr w:rsidR="00FC693F" w:rsidRPr="0006063C" w:rsidSect="00034616">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999999"/>
        <w:sz w:val="16"/>
      </w:rPr>
      <w:t>© 2026 Mastech Digital | Reltio MDM Platform Assets | Confidential</w:t>
    </w:r>
    <w:r>
      <w:rPr>
        <w:color w:val="999999"/>
        <w:sz w:val="16"/>
      </w:rPr>
      <w:t xml:space="preserve"> | Page </w:t>
    </w:r>
    <w:r>
      <w:fldChar w:fldCharType="begin"/>
    </w:r>
    <w:r>
      <w:instrText xml:space="preserve"> PAGE </w:instrText>
    </w:r>
    <w:r>
      <w:fldChar w:fldCharType="end"/>
    </w:r>
    <w:r>
      <w:rPr>
        <w:color w:val="999999"/>
        <w:sz w:val="16"/>
      </w:rPr>
      <w:t xml:space="preserve"> of </w:t>
    </w:r>
    <w:r>
      <w:fldChar w:fldCharType="begin"/>
    </w:r>
    <w:r>
      <w:instrText xml:space="preserve"> NUMPAGES </w:instrText>
    </w:r>
    <w:r>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pPr>
    <w:rPr>
      <w:rFonts w:ascii="Aptos" w:hAnsi="Aptos"/>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40" w:after="80"/>
      <w:outlineLvl w:val="0"/>
    </w:pPr>
    <w:rPr>
      <w:rFonts w:asciiTheme="majorHAnsi" w:eastAsiaTheme="majorEastAsia" w:hAnsiTheme="majorHAnsi" w:cstheme="majorBidi" w:ascii="Aptos Display" w:hAnsi="Aptos Display"/>
      <w:b/>
      <w:bCs/>
      <w:color w:val="0F4761"/>
      <w:sz w:val="40"/>
      <w:szCs w:val="28"/>
    </w:rPr>
  </w:style>
  <w:style w:type="paragraph" w:styleId="Heading2">
    <w:name w:val="heading 2"/>
    <w:basedOn w:val="Normal"/>
    <w:next w:val="Normal"/>
    <w:link w:val="Heading2Char"/>
    <w:uiPriority w:val="9"/>
    <w:unhideWhenUsed/>
    <w:qFormat/>
    <w:rsid w:val="00FC693F"/>
    <w:pPr>
      <w:keepNext/>
      <w:keepLines/>
      <w:spacing w:before="200" w:after="80"/>
      <w:outlineLvl w:val="1"/>
    </w:pPr>
    <w:rPr>
      <w:rFonts w:asciiTheme="majorHAnsi" w:eastAsiaTheme="majorEastAsia" w:hAnsiTheme="majorHAnsi" w:cstheme="majorBidi" w:ascii="Aptos Display" w:hAnsi="Aptos Display"/>
      <w:b/>
      <w:bCs/>
      <w:color w:val="0F4761"/>
      <w:sz w:val="32"/>
      <w:szCs w:val="26"/>
    </w:rPr>
  </w:style>
  <w:style w:type="paragraph" w:styleId="Heading3">
    <w:name w:val="heading 3"/>
    <w:basedOn w:val="Normal"/>
    <w:next w:val="Normal"/>
    <w:link w:val="Heading3Char"/>
    <w:uiPriority w:val="9"/>
    <w:unhideWhenUsed/>
    <w:qFormat/>
    <w:rsid w:val="00FC693F"/>
    <w:pPr>
      <w:keepNext/>
      <w:keepLines/>
      <w:spacing w:before="160" w:after="80"/>
      <w:outlineLvl w:val="2"/>
    </w:pPr>
    <w:rPr>
      <w:rFonts w:asciiTheme="majorHAnsi" w:eastAsiaTheme="majorEastAsia" w:hAnsiTheme="majorHAnsi" w:cstheme="majorBidi" w:ascii="Aptos Display" w:hAnsi="Aptos Display"/>
      <w:b/>
      <w:bCs/>
      <w:color w:val="0F4761"/>
      <w:sz w:val="28"/>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